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91f3cda2e4549e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35907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GORJANI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656.706,77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613.245,87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431.963,34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725.705,07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112.459,20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39.973,26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88.237,16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39.973,26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85.642,16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13.304,24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198.101,36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MANJAK PRIHODA I PRIMITAKA - ostvaren u iznosu od 198.101,36 odnosi se na nedostatak očekivanih pomoći iz drugih proračuna u provedbi projekata koji će se realizirati tijekom 2025. godine.</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85.816,69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100.518,47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bl>
    <w:p>
      <w:pPr>
        <w:spacing w:before="0" w:after="0"/>
      </w:pPr>
    </w:p>
    <w:p>
      <w:pPr>
        <w:jc w:val="both"/>
        <w:pStyle w:val="Normal"/>
        <w:spacing w:line="240" w:lineRule="auto"/>
      </w:pPr>
      <w:r>
        <w:rPr>
          <w:sz w:val="24"/>
          <w:rFonts w:ascii="Times New Roman" w:hAnsi="Times New Roman"/>
        </w:rPr>
        <w:t>Prihodi od poreza ukupno iznose 100.518,47 eura i sav prihod se odnosi na prihod nadležnog proračuna. </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449.958,34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339.180,76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w:t>
            </w:r>
          </w:p>
        </w:tc>
      </w:tr>
    </w:tbl>
    <w:p>
      <w:pPr>
        <w:spacing w:before="0" w:after="0"/>
      </w:pPr>
    </w:p>
    <w:p>
      <w:pPr>
        <w:jc w:val="both"/>
        <w:pStyle w:val="Normal"/>
        <w:spacing w:line="240" w:lineRule="auto"/>
      </w:pPr>
      <w:r>
        <w:rPr>
          <w:sz w:val="24"/>
          <w:rFonts w:ascii="Times New Roman" w:hAnsi="Times New Roman"/>
        </w:rPr>
        <w:t>Pomoći iz inozemstva i od subjekata unutar općeg proračuna čini prihod od 339.180,76 eura i cijeli prihod se odnosi na prihod nadležnog proračuna. </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52.201,88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100.147,36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191,8</w:t>
            </w:r>
          </w:p>
        </w:tc>
      </w:tr>
    </w:tbl>
    <w:p>
      <w:pPr>
        <w:spacing w:before="0" w:after="0"/>
      </w:pPr>
    </w:p>
    <w:p>
      <w:pPr>
        <w:jc w:val="both"/>
        <w:pStyle w:val="Normal"/>
        <w:spacing w:line="240" w:lineRule="auto"/>
      </w:pPr>
      <w:r>
        <w:rPr>
          <w:sz w:val="24"/>
          <w:rFonts w:ascii="Times New Roman" w:hAnsi="Times New Roman"/>
        </w:rPr>
        <w:t>Prihodi od i administrativnih pristojbi, pristojbi po posebnim propisima i naknada čine ukupno 100.147,36 eura, prihod proračunskog korisnika iznosi 43.013,99 eura i odnosi se na prihod od roditelja koji sufinanciraju cijenu vrtića, zatim razlika od 57.133,37 eura odnosi se na prihod nadležnog proračuna. </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262.036,93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339.067,36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w:t>
            </w:r>
          </w:p>
        </w:tc>
      </w:tr>
    </w:tbl>
    <w:p>
      <w:pPr>
        <w:spacing w:before="0" w:after="0"/>
      </w:pPr>
    </w:p>
    <w:p>
      <w:pPr>
        <w:jc w:val="both"/>
        <w:pStyle w:val="Normal"/>
        <w:spacing w:line="240" w:lineRule="auto"/>
      </w:pPr>
      <w:r>
        <w:rPr>
          <w:sz w:val="24"/>
          <w:rFonts w:ascii="Times New Roman" w:hAnsi="Times New Roman"/>
        </w:rPr>
        <w:t>Rashodi za zaposlene iznose ukupno 339.067,36 eura, iznos od 96.423,61 odnosi se na rashod nadležnog proračuna dok 242.643,75 eura odnosi se na rashode proračunskog korisnika Dječji vrtić Krijesnica Gorjani. Značajna je razlika u odnosu na prethodnu godinu u kojoj smo ostvarili svega 77.030,43 eura, a razlika se odnosi na porast bruto plaća djelatnika proračunskog korisnika isto tako i zaposlenike nadležnog proračuna.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129.964,74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312.907,58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240,8</w:t>
            </w:r>
          </w:p>
        </w:tc>
      </w:tr>
    </w:tbl>
    <w:p>
      <w:pPr>
        <w:spacing w:before="0" w:after="0"/>
      </w:pPr>
    </w:p>
    <w:p>
      <w:pPr>
        <w:jc w:val="both"/>
        <w:pStyle w:val="Normal"/>
        <w:spacing w:line="240" w:lineRule="auto"/>
      </w:pPr>
      <w:r>
        <w:rPr>
          <w:sz w:val="24"/>
          <w:rFonts w:ascii="Times New Roman" w:hAnsi="Times New Roman"/>
        </w:rPr>
        <w:t>Materijalni rashodi iznose ukupno 312.907,58 eura, iznos od 25.172,61 eura odnosi se na proračunskog korisnika, dok razlika u iznosu od 287.734,97 eura odnosi se na nadležan proračun. Značajna je razlika u odnosu na prethodno razdoblje i to u iznosu od 182.942,84 i razlog tome je opći rast cijena proizvoda i usluga na tržištu.</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w:t>
            </w:r>
          </w:p>
        </w:tc>
      </w:tr>
    </w:tbl>
    <w:p>
      <w:pPr>
        <w:spacing w:before="0" w:after="0"/>
      </w:pPr>
    </w:p>
    <w:p>
      <w:pPr>
        <w:jc w:val="both"/>
        <w:pStyle w:val="Normal"/>
        <w:spacing w:line="240" w:lineRule="auto"/>
      </w:pPr>
      <w:r>
        <w:rPr>
          <w:sz w:val="24"/>
          <w:rFonts w:ascii="Times New Roman" w:hAnsi="Times New Roman"/>
        </w:rPr>
        <w:t>Financijski rashodi iznose ukupno 1.105,78 eura, iznos od 307,49 eura odnosi se na rashod proračunskog korisnika i odnosi se na bankarske usluge, dok razlika od 798,29 eura odnosi se na rashod nadležnog proračuna i isto se radi o bankarskim uslugama</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15.457,43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46.642,98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301,8</w:t>
            </w:r>
          </w:p>
        </w:tc>
      </w:tr>
    </w:tbl>
    <w:p>
      <w:pPr>
        <w:spacing w:before="0" w:after="0"/>
      </w:pPr>
    </w:p>
    <w:p>
      <w:pPr>
        <w:jc w:val="both"/>
        <w:pStyle w:val="Normal"/>
        <w:spacing w:line="240" w:lineRule="auto"/>
      </w:pPr>
      <w:r>
        <w:rPr>
          <w:sz w:val="24"/>
          <w:rFonts w:ascii="Times New Roman" w:hAnsi="Times New Roman"/>
        </w:rPr>
        <w:t>Naknade građanima i kućanstvima ostvarene u iznosu od 46.642,98 eura i odnose se na rashode nadležnog proračuna Općine Gorjani.</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23.405,21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25.981,37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w:t>
            </w:r>
          </w:p>
        </w:tc>
      </w:tr>
    </w:tbl>
    <w:p>
      <w:pPr>
        <w:spacing w:before="0" w:after="0"/>
      </w:pPr>
    </w:p>
    <w:p>
      <w:pPr>
        <w:jc w:val="both"/>
        <w:pStyle w:val="Normal"/>
        <w:spacing w:line="240" w:lineRule="auto"/>
      </w:pPr>
      <w:r>
        <w:rPr>
          <w:sz w:val="24"/>
          <w:rFonts w:ascii="Times New Roman" w:hAnsi="Times New Roman"/>
        </w:rPr>
        <w:t>Rashodi za donacije – ostvarene u iznosu od 25.981,37 eura i odnose se isključivo na rashode nadležnog proračuna odnosno na donacije koje je općina dodijelila. </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20.723,26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88.237,16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425,8</w:t>
            </w:r>
          </w:p>
        </w:tc>
      </w:tr>
    </w:tbl>
    <w:p>
      <w:pPr>
        <w:spacing w:before="0" w:after="0"/>
      </w:pPr>
    </w:p>
    <w:p>
      <w:pPr>
        <w:jc w:val="both"/>
        <w:pStyle w:val="Normal"/>
        <w:spacing w:line="240" w:lineRule="auto"/>
      </w:pPr>
      <w:r>
        <w:rPr>
          <w:sz w:val="24"/>
          <w:rFonts w:ascii="Times New Roman" w:hAnsi="Times New Roman"/>
        </w:rPr>
        <w:t>Rashodi za nabavu proizvedene dugotrajne imovine – ostvarene u iznosu od 88.237,16 eura, iznos od 99,99 eura odnosi se na proračunskog korisnika odnosno na  nabavu stroja za čišćenje, dok sva razlika u iznosu od 88.137,17 eura odnosi se na rashode nadležnog proračuna.</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21.832,09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dospjelih obveza ostvarene u iznosu od 21.832,09 eura, iznos od 102,34 eura odnosi se na proračunskog korisnika odnosno na račun koji je poslan od strane dobavljača putem hrvatske pošte i račun je stigao prekasno, isti je plaćen u srpnju 2025. godine, a sve preostale obveze u iznosu od 21.729,75 eura odnosi se na nadležan proračuna odnosno obveze do 60 dana u iznosu od 4.569,47 eura, isti će biti podmirene u srpnju 2025. godine, iz razloga što su dobavljači kasnili s isporukom usluge. Obveze od 61 do 180 dana u iznosu od 8.944,74 eura odnose se na jamčevne pologe u iznosu od 6.481,02, a 2.463,72 eura odnosi se na ugovor o priključku koji je naknadno dogovoreno s dobavljačem da će se platiti u 2 rate.  Obveze više od 360 dana u iznosu od 8.215,54 eura, dobavljač nije ispunio ugovorenu obvezu i zbog toga je odgođeno plaćanje.</w:t>
      </w:r>
    </w:p>
    <w:p/>
    <w:p>
      <w:pPr>
        <w:jc w:val="center"/>
        <w:pStyle w:val="Normal"/>
        <w:spacing w:line="240" w:lineRule="auto"/>
        <w:keepNext/>
      </w:pPr>
      <w:r>
        <w:rPr>
          <w:sz w:val="28"/>
          <w:rFonts w:ascii="Times New Roman" w:hAnsi="Times New Roman"/>
        </w:rPr>
        <w:t>Bilješka 12.</w:t>
      </w:r>
    </w:p>
    <w:p>
      <w:pPr>
        <w:jc w:val="both"/>
        <w:pStyle w:val="Normal"/>
        <w:spacing w:line="240" w:lineRule="auto"/>
      </w:pPr>
      <w:r>
        <w:rPr>
          <w:b/>
          <w:sz w:val="24"/>
          <w:rFonts w:ascii="Times New Roman" w:hAnsi="Times New Roman"/>
        </w:rPr>
        <w:t>Unutargrupne transakcije koje su u izvještajima eliminirane</w:t>
      </w:r>
    </w:p>
    <w:p>
      <w:pPr>
        <w:jc w:val="both"/>
        <w:pStyle w:val="Normal"/>
        <w:spacing w:line="240" w:lineRule="auto"/>
      </w:pPr>
      <w:r>
        <w:rPr>
          <w:sz w:val="24"/>
          <w:rFonts w:ascii="Times New Roman" w:hAnsi="Times New Roman"/>
        </w:rPr>
        <w:t>Unutargrupne transakcije koje su eliminirane jesu:
-kod nadležnog proračuna konto 367 - 69.998,72 eura
-kod proračunskog korisnika konto 67 - 69.998,72 eura
</w:t>
      </w:r>
    </w:p>
    <w:p/>
    <w:p>
      <w:pPr>
        <w:jc w:val="center"/>
        <w:pStyle w:val="Normal"/>
        <w:spacing w:line="240" w:lineRule="auto"/>
        <w:keepNext/>
      </w:pPr>
      <w:r>
        <w:rPr>
          <w:sz w:val="28"/>
          <w:rFonts w:ascii="Times New Roman" w:hAnsi="Times New Roman"/>
        </w:rPr>
        <w:t>Bilješka 13.</w:t>
      </w:r>
    </w:p>
    <w:p>
      <w:pPr>
        <w:jc w:val="both"/>
        <w:pStyle w:val="Normal"/>
        <w:spacing w:line="240" w:lineRule="auto"/>
      </w:pPr>
      <w:r>
        <w:rPr>
          <w:b/>
          <w:sz w:val="24"/>
          <w:rFonts w:ascii="Times New Roman" w:hAnsi="Times New Roman"/>
        </w:rPr>
        <w:t>Manjak ili višak u poslovanju grupe i pregled strukture manjka/viška po proračunskim korisnicima </w:t>
      </w:r>
    </w:p>
    <w:p>
      <w:pPr>
        <w:jc w:val="both"/>
        <w:pStyle w:val="Normal"/>
        <w:spacing w:line="240" w:lineRule="auto"/>
      </w:pPr>
      <w:r>
        <w:rPr>
          <w:sz w:val="24"/>
          <w:rFonts w:ascii="Times New Roman" w:hAnsi="Times New Roman"/>
        </w:rPr>
        <w:t>Proračunski korisnik u izvještajnom razdoblju ostvario je manjak prihoda poslovanja u iznosu od 1.062,27 eura, isti će se pokriti u srpnju 2025. godine.</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64d6a982bc149e7" /></Relationships>
</file>